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22" w:rsidRPr="00E30B22" w:rsidRDefault="00E30B22" w:rsidP="00E30B22">
      <w:pPr>
        <w:widowControl/>
        <w:shd w:val="clear" w:color="auto" w:fill="FFFFFF"/>
        <w:jc w:val="center"/>
        <w:outlineLvl w:val="0"/>
        <w:rPr>
          <w:rFonts w:ascii="微软雅黑" w:eastAsia="微软雅黑" w:hAnsi="微软雅黑" w:cs="宋体"/>
          <w:b/>
          <w:bCs/>
          <w:color w:val="4B4B4B"/>
          <w:kern w:val="36"/>
          <w:sz w:val="25"/>
          <w:szCs w:val="25"/>
        </w:rPr>
      </w:pPr>
      <w:r w:rsidRPr="00E30B22">
        <w:rPr>
          <w:rFonts w:ascii="微软雅黑" w:eastAsia="微软雅黑" w:hAnsi="微软雅黑" w:cs="宋体" w:hint="eastAsia"/>
          <w:b/>
          <w:bCs/>
          <w:color w:val="4B4B4B"/>
          <w:kern w:val="36"/>
          <w:sz w:val="25"/>
          <w:szCs w:val="25"/>
        </w:rPr>
        <w:t>国家中长期教育改革和发展规划纲要（2010-2020年）</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7"/>
          <w:szCs w:val="27"/>
        </w:rPr>
      </w:pPr>
      <w:r w:rsidRPr="00E30B22">
        <w:rPr>
          <w:rFonts w:ascii="楷体_GB2312" w:eastAsia="楷体_GB2312" w:hAnsi="微软雅黑" w:cs="宋体" w:hint="eastAsia"/>
          <w:color w:val="4B4B4B"/>
          <w:kern w:val="0"/>
          <w:sz w:val="27"/>
          <w:szCs w:val="27"/>
          <w:bdr w:val="none" w:sz="0" w:space="0" w:color="auto" w:frame="1"/>
        </w:rPr>
        <w:t xml:space="preserve">　　目 录</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序言</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第一部分 总体战略</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第一章 指导思想和工作方针</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（一）指导思想</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（二）工作方针</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第二章 战略目标和战略主题</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（三）战略目标</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（四）战略主题</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第二部分 发展任务</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第三章 学前教育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（五）基本普及学前教育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（六）明确政府职责</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（七）重点发展农村学前教育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第四章 义务教育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（八）巩固提高九年义务教育水平</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（九）推进义务教育均衡发展</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（十）减轻中小学生课业负担</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第五章 高中阶段教育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（十一）加快普及高中阶段教育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（十二）全面提高普通高中学生综合素质</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（十三）推动普通高中多样化发展</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第六章 职业教育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（十四）大力发展职业教育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（十五）调动行业企业的积极性</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（十六）加快发展面向农村的职业教育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（十七）增强职业教育吸引力</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第七章 高等教育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（十八）全面提高高等教育质量</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（十九）提高人才培养质量</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（二十）提升科学研究水平</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（二十一）增强社会服务能力</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lastRenderedPageBreak/>
        <w:t xml:space="preserve">　　（二十二）优化结构办出特色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第八章 继续教育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（二十三）加快发展继续教育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（二十四）建立健全继续教育体制机制</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（二十五）构建灵活开放的终身教育体系</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第九章 民族教育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（二十六）重视和支持民族教育事业</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（二十七）全面提高少数民族和民族地区教育发展水平</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第十章 特殊教育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（二十八）关心和支持特殊教育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（二十九）完善特殊教育体系</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（三十）健全特殊教育保障机制</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第三部分 体制改革</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第十一章 人才培养体制改革</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（三十一）更新人才培养观念</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（三十二）创新人才培养模式</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（三十三）改革教育质量评价和人才评价制度</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第十二章 考试招生制度改革</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（三十四）推进考试招生制度改革</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（三十五）完善中等学校考试招生制度</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（三十六）完善高等学校考试招生制度</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（三十七）加强信息公开和社会监督</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第十三章 建设现代学校制度</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（三十八）推进政校分开、管办分离</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（三十九）落实和扩大学校办学自主权</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（四十）完善中国特色现代大学制度</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（四十一）完善中小学学校管理制度</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第十四章 办学体制改革</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（四十二）深化办学体制改革</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（四十三）大力支持民办教育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（四十四）依法管理民办教育</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第十五章 管理体制改革</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（四十五）健全统筹有力、权责明确的教育管理体制</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（四十六）加强省级政府教育统筹</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lastRenderedPageBreak/>
        <w:t xml:space="preserve">　　（四十七）转变政府教育管理职能</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第十六章 扩大教育开放</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（四十八）加强国际交流与合作</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（四十九）引进优质教育资源</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（五十）提高交流合作水平</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第四部分 保障措施</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第十七章 加强教师队伍建设</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（五十一）建设高素质教师队伍</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（五十二）加强师德建设</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（五十三）提高教师业务水平</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（五十四）提高教师地位待遇</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（五十五）健全教师管理制度</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第十八章 保障经费投入</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（五十六）加大教育投入</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（五十七）完善投入机制</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（五十八）加强经费管理</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第十九章 加快教育信息化进程</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（五十九）加快教育信息基础设施建设</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（六十）加强优质教育资源开发与应用</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（六十一）构建国家教育管理信息系统</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第二十章 推进依法治教</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（六十二）完善教育法律法规</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（六十三）全面推进依法行政</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（六十四）大力推进依法治校</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（六十五）完善督导制度和监督问责机制</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第二十一章 重大项目和改革试点</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（六十六）组织实施重大项目</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（六十七）组织开展改革试点</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第二十二章 加强组织领导</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（六十八）加强和改善对教育工作的领导</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（六十九）加强和改进教育系统党的建设</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（七十）切实维护教育系统和谐稳定</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楷体_GB2312" w:eastAsia="楷体_GB2312" w:hAnsi="微软雅黑" w:cs="宋体" w:hint="eastAsia"/>
          <w:color w:val="4B4B4B"/>
          <w:kern w:val="0"/>
          <w:sz w:val="20"/>
          <w:szCs w:val="20"/>
          <w:bdr w:val="none" w:sz="0" w:space="0" w:color="auto" w:frame="1"/>
        </w:rPr>
        <w:t xml:space="preserve">　　实施</w:t>
      </w:r>
    </w:p>
    <w:p w:rsidR="00E30B22" w:rsidRPr="00E30B22" w:rsidRDefault="00E30B22" w:rsidP="00E30B22">
      <w:pPr>
        <w:widowControl/>
        <w:shd w:val="clear" w:color="auto" w:fill="FFFFFF"/>
        <w:spacing w:line="401" w:lineRule="atLeast"/>
        <w:jc w:val="left"/>
        <w:rPr>
          <w:rFonts w:ascii="微软雅黑" w:eastAsia="微软雅黑" w:hAnsi="微软雅黑" w:cs="宋体" w:hint="eastAsia"/>
          <w:color w:val="4B4B4B"/>
          <w:kern w:val="0"/>
          <w:sz w:val="20"/>
          <w:szCs w:val="20"/>
        </w:rPr>
      </w:pPr>
      <w:r w:rsidRPr="00E30B22">
        <w:rPr>
          <w:rFonts w:ascii="微软雅黑" w:eastAsia="微软雅黑" w:hAnsi="微软雅黑" w:cs="宋体" w:hint="eastAsia"/>
          <w:color w:val="4B4B4B"/>
          <w:kern w:val="0"/>
          <w:sz w:val="20"/>
          <w:szCs w:val="20"/>
        </w:rPr>
        <w:t> </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微软雅黑" w:eastAsia="微软雅黑" w:hAnsi="微软雅黑" w:cs="宋体" w:hint="eastAsia"/>
          <w:color w:val="4B4B4B"/>
          <w:kern w:val="0"/>
          <w:sz w:val="20"/>
          <w:szCs w:val="20"/>
        </w:rPr>
        <w:lastRenderedPageBreak/>
        <w:t xml:space="preserve">　　</w:t>
      </w:r>
      <w:r w:rsidRPr="00E30B22">
        <w:rPr>
          <w:rFonts w:ascii="楷体_GB2312" w:eastAsia="楷体_GB2312" w:hAnsi="微软雅黑" w:cs="宋体" w:hint="eastAsia"/>
          <w:color w:val="4B4B4B"/>
          <w:kern w:val="0"/>
          <w:sz w:val="28"/>
          <w:szCs w:val="28"/>
        </w:rPr>
        <w:t>根据党的十七大关于“优先发展教育，建设人力资源强国”的战略部署，为促进教育事业科学发展，全面提高国民素质，加快社会主义现代化进程，制定本《教育规划纲要》。</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w:t>
      </w:r>
      <w:r w:rsidRPr="00E30B22">
        <w:rPr>
          <w:rFonts w:ascii="楷体_GB2312" w:eastAsia="楷体_GB2312" w:hAnsi="微软雅黑" w:cs="宋体" w:hint="eastAsia"/>
          <w:b/>
          <w:bCs/>
          <w:color w:val="4B4B4B"/>
          <w:kern w:val="0"/>
          <w:sz w:val="28"/>
          <w:szCs w:val="28"/>
          <w:bdr w:val="none" w:sz="0" w:space="0" w:color="auto" w:frame="1"/>
        </w:rPr>
        <w:t>序 言</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作出了不可替代的重大贡献。我国实现了从人口大国向人力资源大国的转变。</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面对前所未有的机遇和挑战，必须清醒认识到，我国教育还不完全适应国家经济社会发展和人民群众接受良好教育的要求。教育观念</w:t>
      </w:r>
      <w:r w:rsidRPr="00E30B22">
        <w:rPr>
          <w:rFonts w:ascii="楷体_GB2312" w:eastAsia="楷体_GB2312" w:hAnsi="微软雅黑" w:cs="宋体" w:hint="eastAsia"/>
          <w:color w:val="4B4B4B"/>
          <w:kern w:val="0"/>
          <w:sz w:val="28"/>
          <w:szCs w:val="28"/>
        </w:rPr>
        <w:lastRenderedPageBreak/>
        <w:t>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作出更大贡献。</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第一部分 总体战略</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第一章 指导思想和工作方针</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全面贯彻党的教育方针，坚持教育为社会主义现代化建设服务，为人民服务，与生产劳动和社会实践相结合，培养德智体美全面发展的社会主义建设者和接班人。</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全面推进教育事业科学发展，立足社会主义初级阶段基本国情，把握教育发展阶段性特征，坚持以人为本，遵循教育规律，面向社会需求，优化结构布局，提高教育现代化水平。</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（二）工作方针。优先发展、育人为本、改革创新、促进公平、提高质量。</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把促进公平作为国家基本教育政策。教育公平是社会公平的重要基础。教育公平的关键是机会公平，基本要求是保障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w:t>
      </w:r>
      <w:r w:rsidRPr="00E30B22">
        <w:rPr>
          <w:rFonts w:ascii="楷体_GB2312" w:eastAsia="楷体_GB2312" w:hAnsi="微软雅黑" w:cs="宋体" w:hint="eastAsia"/>
          <w:b/>
          <w:bCs/>
          <w:color w:val="4B4B4B"/>
          <w:kern w:val="0"/>
          <w:sz w:val="28"/>
          <w:szCs w:val="28"/>
          <w:bdr w:val="none" w:sz="0" w:space="0" w:color="auto" w:frame="1"/>
        </w:rPr>
        <w:t>第二章 战略目标和战略主题</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（三）战略目标。到2020年，基本实现教育现代化，基本形成学习型社会，进入人力资源强国行列。</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形成惠及全民的公平教育。坚持教育的公益性和普惠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构建体系完备的终身教育。学历教育和非学历教育协调发展，职业教育和普通教育相互沟通，职前教育和职后教育有效衔接。继续教育参与率大幅提升，从业人员继续教育年参与率达到50%。现代国民</w:t>
      </w:r>
      <w:r w:rsidRPr="00E30B22">
        <w:rPr>
          <w:rFonts w:ascii="楷体_GB2312" w:eastAsia="楷体_GB2312" w:hAnsi="微软雅黑" w:cs="宋体" w:hint="eastAsia"/>
          <w:color w:val="4B4B4B"/>
          <w:kern w:val="0"/>
          <w:sz w:val="28"/>
          <w:szCs w:val="28"/>
        </w:rPr>
        <w:lastRenderedPageBreak/>
        <w:t>教育体系更加完善，终身教育体系基本形成，促进全体人民学有所教、学有所成、学有所用。</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坚持全面发展。全面加强和改进德育、智育、体育、美育。坚持文化知识学习与思想品德修养的统一、理论学习与社会实践的统一、全面发展与个性发展的统一。加强体育，牢固树立健康第一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E30B22" w:rsidRPr="00E30B22" w:rsidRDefault="00E30B22" w:rsidP="00E30B22">
      <w:pPr>
        <w:widowControl/>
        <w:shd w:val="clear" w:color="auto" w:fill="FFFFFF"/>
        <w:spacing w:line="480" w:lineRule="exact"/>
        <w:jc w:val="center"/>
        <w:rPr>
          <w:rFonts w:ascii="楷体_GB2312" w:eastAsia="楷体_GB2312" w:hAnsi="微软雅黑" w:cs="宋体" w:hint="eastAsia"/>
          <w:b/>
          <w:bCs/>
          <w:color w:val="4B4B4B"/>
          <w:kern w:val="0"/>
          <w:sz w:val="28"/>
          <w:szCs w:val="28"/>
          <w:bdr w:val="none" w:sz="0" w:space="0" w:color="auto" w:frame="1"/>
        </w:rPr>
      </w:pPr>
      <w:r w:rsidRPr="00E30B22">
        <w:rPr>
          <w:rFonts w:ascii="楷体_GB2312" w:eastAsia="楷体_GB2312" w:hAnsi="微软雅黑" w:cs="宋体" w:hint="eastAsia"/>
          <w:b/>
          <w:bCs/>
          <w:color w:val="4B4B4B"/>
          <w:kern w:val="0"/>
          <w:sz w:val="28"/>
          <w:szCs w:val="28"/>
          <w:bdr w:val="none" w:sz="0" w:space="0" w:color="auto" w:frame="1"/>
        </w:rPr>
        <w:t>专栏1：教育事业发展主目标</w:t>
      </w:r>
    </w:p>
    <w:tbl>
      <w:tblPr>
        <w:tblW w:w="0" w:type="auto"/>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2770"/>
        <w:gridCol w:w="1090"/>
        <w:gridCol w:w="1166"/>
        <w:gridCol w:w="1166"/>
        <w:gridCol w:w="1166"/>
      </w:tblGrid>
      <w:tr w:rsidR="00E30B22" w:rsidRPr="00E30B22" w:rsidTr="00E30B22">
        <w:trPr>
          <w:jc w:val="center"/>
        </w:trPr>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指标</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单位</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2009年</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2015年</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2020年</w:t>
            </w:r>
          </w:p>
        </w:tc>
      </w:tr>
      <w:tr w:rsidR="00E30B22" w:rsidRPr="00E30B22" w:rsidTr="00E30B22">
        <w:trPr>
          <w:jc w:val="center"/>
        </w:trPr>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学前教育</w:t>
            </w:r>
            <w:r w:rsidRPr="00E30B22">
              <w:rPr>
                <w:rFonts w:ascii="楷体_GB2312" w:eastAsia="楷体_GB2312" w:hAnsi="宋体" w:cs="宋体" w:hint="eastAsia"/>
                <w:color w:val="4B4B4B"/>
                <w:kern w:val="0"/>
                <w:sz w:val="28"/>
                <w:szCs w:val="28"/>
              </w:rPr>
              <w:br/>
              <w:t>幼儿在园人数</w:t>
            </w:r>
            <w:r w:rsidRPr="00E30B22">
              <w:rPr>
                <w:rFonts w:ascii="楷体_GB2312" w:eastAsia="楷体_GB2312" w:hAnsi="宋体" w:cs="宋体" w:hint="eastAsia"/>
                <w:color w:val="4B4B4B"/>
                <w:kern w:val="0"/>
                <w:sz w:val="28"/>
                <w:szCs w:val="28"/>
              </w:rPr>
              <w:br/>
              <w:t>学前一年毛入园率</w:t>
            </w:r>
            <w:r w:rsidRPr="00E30B22">
              <w:rPr>
                <w:rFonts w:ascii="楷体_GB2312" w:eastAsia="楷体_GB2312" w:hAnsi="宋体" w:cs="宋体" w:hint="eastAsia"/>
                <w:color w:val="4B4B4B"/>
                <w:kern w:val="0"/>
                <w:sz w:val="28"/>
                <w:szCs w:val="28"/>
              </w:rPr>
              <w:br/>
              <w:t>学前两年毛入园率</w:t>
            </w:r>
            <w:r w:rsidRPr="00E30B22">
              <w:rPr>
                <w:rFonts w:ascii="楷体_GB2312" w:eastAsia="楷体_GB2312" w:hAnsi="宋体" w:cs="宋体" w:hint="eastAsia"/>
                <w:color w:val="4B4B4B"/>
                <w:kern w:val="0"/>
                <w:sz w:val="28"/>
                <w:szCs w:val="28"/>
              </w:rPr>
              <w:br/>
              <w:t>学前三年毛入园率</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万人</w:t>
            </w:r>
            <w:r w:rsidRPr="00E30B22">
              <w:rPr>
                <w:rFonts w:ascii="楷体_GB2312" w:eastAsia="楷体_GB2312" w:hAnsi="宋体" w:cs="宋体" w:hint="eastAsia"/>
                <w:color w:val="4B4B4B"/>
                <w:kern w:val="0"/>
                <w:sz w:val="28"/>
                <w:szCs w:val="28"/>
              </w:rPr>
              <w:br/>
              <w:t>%</w:t>
            </w:r>
            <w:r w:rsidRPr="00E30B22">
              <w:rPr>
                <w:rFonts w:ascii="楷体_GB2312" w:eastAsia="楷体_GB2312" w:hAnsi="宋体" w:cs="宋体" w:hint="eastAsia"/>
                <w:color w:val="4B4B4B"/>
                <w:kern w:val="0"/>
                <w:sz w:val="28"/>
                <w:szCs w:val="28"/>
              </w:rPr>
              <w:br/>
              <w:t>%</w:t>
            </w:r>
            <w:r w:rsidRPr="00E30B22">
              <w:rPr>
                <w:rFonts w:ascii="楷体_GB2312" w:eastAsia="楷体_GB2312" w:hAnsi="宋体" w:cs="宋体" w:hint="eastAsia"/>
                <w:color w:val="4B4B4B"/>
                <w:kern w:val="0"/>
                <w:sz w:val="28"/>
                <w:szCs w:val="28"/>
              </w:rPr>
              <w:br/>
              <w:t>%</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2658</w:t>
            </w:r>
            <w:r w:rsidRPr="00E30B22">
              <w:rPr>
                <w:rFonts w:ascii="楷体_GB2312" w:eastAsia="楷体_GB2312" w:hAnsi="宋体" w:cs="宋体" w:hint="eastAsia"/>
                <w:color w:val="4B4B4B"/>
                <w:kern w:val="0"/>
                <w:sz w:val="28"/>
                <w:szCs w:val="28"/>
              </w:rPr>
              <w:br/>
              <w:t>74.0</w:t>
            </w:r>
            <w:r w:rsidRPr="00E30B22">
              <w:rPr>
                <w:rFonts w:ascii="楷体_GB2312" w:eastAsia="楷体_GB2312" w:hAnsi="宋体" w:cs="宋体" w:hint="eastAsia"/>
                <w:color w:val="4B4B4B"/>
                <w:kern w:val="0"/>
                <w:sz w:val="28"/>
                <w:szCs w:val="28"/>
              </w:rPr>
              <w:br/>
              <w:t>65.0</w:t>
            </w:r>
            <w:r w:rsidRPr="00E30B22">
              <w:rPr>
                <w:rFonts w:ascii="楷体_GB2312" w:eastAsia="楷体_GB2312" w:hAnsi="宋体" w:cs="宋体" w:hint="eastAsia"/>
                <w:color w:val="4B4B4B"/>
                <w:kern w:val="0"/>
                <w:sz w:val="28"/>
                <w:szCs w:val="28"/>
              </w:rPr>
              <w:br/>
              <w:t>50.9</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3400</w:t>
            </w:r>
            <w:r w:rsidRPr="00E30B22">
              <w:rPr>
                <w:rFonts w:ascii="楷体_GB2312" w:eastAsia="楷体_GB2312" w:hAnsi="宋体" w:cs="宋体" w:hint="eastAsia"/>
                <w:color w:val="4B4B4B"/>
                <w:kern w:val="0"/>
                <w:sz w:val="28"/>
                <w:szCs w:val="28"/>
              </w:rPr>
              <w:br/>
              <w:t>85.0</w:t>
            </w:r>
            <w:r w:rsidRPr="00E30B22">
              <w:rPr>
                <w:rFonts w:ascii="楷体_GB2312" w:eastAsia="楷体_GB2312" w:hAnsi="宋体" w:cs="宋体" w:hint="eastAsia"/>
                <w:color w:val="4B4B4B"/>
                <w:kern w:val="0"/>
                <w:sz w:val="28"/>
                <w:szCs w:val="28"/>
              </w:rPr>
              <w:br/>
              <w:t>70.0</w:t>
            </w:r>
            <w:r w:rsidRPr="00E30B22">
              <w:rPr>
                <w:rFonts w:ascii="楷体_GB2312" w:eastAsia="楷体_GB2312" w:hAnsi="宋体" w:cs="宋体" w:hint="eastAsia"/>
                <w:color w:val="4B4B4B"/>
                <w:kern w:val="0"/>
                <w:sz w:val="28"/>
                <w:szCs w:val="28"/>
              </w:rPr>
              <w:br/>
              <w:t>60.0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4000</w:t>
            </w:r>
            <w:r w:rsidRPr="00E30B22">
              <w:rPr>
                <w:rFonts w:ascii="楷体_GB2312" w:eastAsia="楷体_GB2312" w:hAnsi="宋体" w:cs="宋体" w:hint="eastAsia"/>
                <w:color w:val="4B4B4B"/>
                <w:kern w:val="0"/>
                <w:sz w:val="28"/>
                <w:szCs w:val="28"/>
              </w:rPr>
              <w:br/>
              <w:t>95.0</w:t>
            </w:r>
            <w:r w:rsidRPr="00E30B22">
              <w:rPr>
                <w:rFonts w:ascii="楷体_GB2312" w:eastAsia="楷体_GB2312" w:hAnsi="宋体" w:cs="宋体" w:hint="eastAsia"/>
                <w:color w:val="4B4B4B"/>
                <w:kern w:val="0"/>
                <w:sz w:val="28"/>
                <w:szCs w:val="28"/>
              </w:rPr>
              <w:br/>
              <w:t>80.0</w:t>
            </w:r>
            <w:r w:rsidRPr="00E30B22">
              <w:rPr>
                <w:rFonts w:ascii="楷体_GB2312" w:eastAsia="楷体_GB2312" w:hAnsi="宋体" w:cs="宋体" w:hint="eastAsia"/>
                <w:color w:val="4B4B4B"/>
                <w:kern w:val="0"/>
                <w:sz w:val="28"/>
                <w:szCs w:val="28"/>
              </w:rPr>
              <w:br/>
              <w:t>70.0</w:t>
            </w:r>
          </w:p>
        </w:tc>
      </w:tr>
      <w:tr w:rsidR="00E30B22" w:rsidRPr="00E30B22" w:rsidTr="00E30B22">
        <w:trPr>
          <w:jc w:val="center"/>
        </w:trPr>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九年义务教育</w:t>
            </w:r>
            <w:r w:rsidRPr="00E30B22">
              <w:rPr>
                <w:rFonts w:ascii="楷体_GB2312" w:eastAsia="楷体_GB2312" w:hAnsi="宋体" w:cs="宋体" w:hint="eastAsia"/>
                <w:color w:val="4B4B4B"/>
                <w:kern w:val="0"/>
                <w:sz w:val="28"/>
                <w:szCs w:val="28"/>
              </w:rPr>
              <w:br/>
              <w:t>在校生</w:t>
            </w:r>
            <w:r w:rsidRPr="00E30B22">
              <w:rPr>
                <w:rFonts w:ascii="楷体_GB2312" w:eastAsia="楷体_GB2312" w:hAnsi="宋体" w:cs="宋体" w:hint="eastAsia"/>
                <w:color w:val="4B4B4B"/>
                <w:kern w:val="0"/>
                <w:sz w:val="28"/>
                <w:szCs w:val="28"/>
              </w:rPr>
              <w:br/>
              <w:t>巩固率</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万人</w:t>
            </w:r>
            <w:r w:rsidRPr="00E30B22">
              <w:rPr>
                <w:rFonts w:ascii="楷体_GB2312" w:eastAsia="楷体_GB2312" w:hAnsi="宋体" w:cs="宋体" w:hint="eastAsia"/>
                <w:color w:val="4B4B4B"/>
                <w:kern w:val="0"/>
                <w:sz w:val="28"/>
                <w:szCs w:val="28"/>
              </w:rPr>
              <w:br/>
              <w:t>%</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15772</w:t>
            </w:r>
            <w:r w:rsidRPr="00E30B22">
              <w:rPr>
                <w:rFonts w:ascii="楷体_GB2312" w:eastAsia="楷体_GB2312" w:hAnsi="宋体" w:cs="宋体" w:hint="eastAsia"/>
                <w:color w:val="4B4B4B"/>
                <w:kern w:val="0"/>
                <w:sz w:val="28"/>
                <w:szCs w:val="28"/>
              </w:rPr>
              <w:br/>
              <w:t>90.8</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16100</w:t>
            </w:r>
            <w:r w:rsidRPr="00E30B22">
              <w:rPr>
                <w:rFonts w:ascii="楷体_GB2312" w:eastAsia="楷体_GB2312" w:hAnsi="宋体" w:cs="宋体" w:hint="eastAsia"/>
                <w:color w:val="4B4B4B"/>
                <w:kern w:val="0"/>
                <w:sz w:val="28"/>
                <w:szCs w:val="28"/>
              </w:rPr>
              <w:br/>
              <w:t>93.0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16500</w:t>
            </w:r>
            <w:r w:rsidRPr="00E30B22">
              <w:rPr>
                <w:rFonts w:ascii="楷体_GB2312" w:eastAsia="楷体_GB2312" w:hAnsi="宋体" w:cs="宋体" w:hint="eastAsia"/>
                <w:color w:val="4B4B4B"/>
                <w:kern w:val="0"/>
                <w:sz w:val="28"/>
                <w:szCs w:val="28"/>
              </w:rPr>
              <w:br/>
              <w:t>95.0</w:t>
            </w:r>
          </w:p>
        </w:tc>
      </w:tr>
      <w:tr w:rsidR="00E30B22" w:rsidRPr="00E30B22" w:rsidTr="00E30B22">
        <w:trPr>
          <w:jc w:val="center"/>
        </w:trPr>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高中阶段教育*</w:t>
            </w:r>
            <w:r w:rsidRPr="00E30B22">
              <w:rPr>
                <w:rFonts w:ascii="楷体_GB2312" w:eastAsia="楷体_GB2312" w:hAnsi="宋体" w:cs="宋体" w:hint="eastAsia"/>
                <w:color w:val="4B4B4B"/>
                <w:kern w:val="0"/>
                <w:sz w:val="28"/>
                <w:szCs w:val="28"/>
              </w:rPr>
              <w:br/>
              <w:t>在校生</w:t>
            </w:r>
            <w:r w:rsidRPr="00E30B22">
              <w:rPr>
                <w:rFonts w:ascii="楷体_GB2312" w:eastAsia="楷体_GB2312" w:hAnsi="宋体" w:cs="宋体" w:hint="eastAsia"/>
                <w:color w:val="4B4B4B"/>
                <w:kern w:val="0"/>
                <w:sz w:val="28"/>
                <w:szCs w:val="28"/>
              </w:rPr>
              <w:br/>
              <w:t>毛入学率</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万人</w:t>
            </w:r>
            <w:r w:rsidRPr="00E30B22">
              <w:rPr>
                <w:rFonts w:ascii="楷体_GB2312" w:eastAsia="楷体_GB2312" w:hAnsi="宋体" w:cs="宋体" w:hint="eastAsia"/>
                <w:color w:val="4B4B4B"/>
                <w:kern w:val="0"/>
                <w:sz w:val="28"/>
                <w:szCs w:val="28"/>
              </w:rPr>
              <w:br/>
              <w:t>%</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4624</w:t>
            </w:r>
            <w:r w:rsidRPr="00E30B22">
              <w:rPr>
                <w:rFonts w:ascii="楷体_GB2312" w:eastAsia="楷体_GB2312" w:hAnsi="宋体" w:cs="宋体" w:hint="eastAsia"/>
                <w:color w:val="4B4B4B"/>
                <w:kern w:val="0"/>
                <w:sz w:val="28"/>
                <w:szCs w:val="28"/>
              </w:rPr>
              <w:br/>
              <w:t>79.2</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4500</w:t>
            </w:r>
            <w:r w:rsidRPr="00E30B22">
              <w:rPr>
                <w:rFonts w:ascii="楷体_GB2312" w:eastAsia="楷体_GB2312" w:hAnsi="宋体" w:cs="宋体" w:hint="eastAsia"/>
                <w:color w:val="4B4B4B"/>
                <w:kern w:val="0"/>
                <w:sz w:val="28"/>
                <w:szCs w:val="28"/>
              </w:rPr>
              <w:br/>
              <w:t>87.0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4700</w:t>
            </w:r>
            <w:r w:rsidRPr="00E30B22">
              <w:rPr>
                <w:rFonts w:ascii="楷体_GB2312" w:eastAsia="楷体_GB2312" w:hAnsi="宋体" w:cs="宋体" w:hint="eastAsia"/>
                <w:color w:val="4B4B4B"/>
                <w:kern w:val="0"/>
                <w:sz w:val="28"/>
                <w:szCs w:val="28"/>
              </w:rPr>
              <w:br/>
              <w:t>90.0</w:t>
            </w:r>
          </w:p>
        </w:tc>
      </w:tr>
      <w:tr w:rsidR="00E30B22" w:rsidRPr="00E30B22" w:rsidTr="00E30B22">
        <w:trPr>
          <w:jc w:val="center"/>
        </w:trPr>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职业教育</w:t>
            </w:r>
            <w:r w:rsidRPr="00E30B22">
              <w:rPr>
                <w:rFonts w:ascii="楷体_GB2312" w:eastAsia="楷体_GB2312" w:hAnsi="宋体" w:cs="宋体" w:hint="eastAsia"/>
                <w:color w:val="4B4B4B"/>
                <w:kern w:val="0"/>
                <w:sz w:val="28"/>
                <w:szCs w:val="28"/>
              </w:rPr>
              <w:br/>
              <w:t>中等职业教育在校生</w:t>
            </w:r>
            <w:r w:rsidRPr="00E30B22">
              <w:rPr>
                <w:rFonts w:ascii="楷体_GB2312" w:eastAsia="楷体_GB2312" w:hAnsi="宋体" w:cs="宋体" w:hint="eastAsia"/>
                <w:color w:val="4B4B4B"/>
                <w:kern w:val="0"/>
                <w:sz w:val="28"/>
                <w:szCs w:val="28"/>
              </w:rPr>
              <w:br/>
            </w:r>
            <w:r w:rsidRPr="00E30B22">
              <w:rPr>
                <w:rFonts w:ascii="楷体_GB2312" w:eastAsia="楷体_GB2312" w:hAnsi="宋体" w:cs="宋体" w:hint="eastAsia"/>
                <w:color w:val="4B4B4B"/>
                <w:kern w:val="0"/>
                <w:sz w:val="28"/>
                <w:szCs w:val="28"/>
              </w:rPr>
              <w:lastRenderedPageBreak/>
              <w:t>高等职业教育在校生</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lastRenderedPageBreak/>
              <w:t> </w:t>
            </w:r>
            <w:r w:rsidRPr="00E30B22">
              <w:rPr>
                <w:rFonts w:ascii="楷体_GB2312" w:eastAsia="楷体_GB2312" w:hAnsi="宋体" w:cs="宋体" w:hint="eastAsia"/>
                <w:color w:val="4B4B4B"/>
                <w:kern w:val="0"/>
                <w:sz w:val="28"/>
                <w:szCs w:val="28"/>
              </w:rPr>
              <w:br/>
              <w:t>万人</w:t>
            </w:r>
            <w:r w:rsidRPr="00E30B22">
              <w:rPr>
                <w:rFonts w:ascii="楷体_GB2312" w:eastAsia="楷体_GB2312" w:hAnsi="宋体" w:cs="宋体" w:hint="eastAsia"/>
                <w:color w:val="4B4B4B"/>
                <w:kern w:val="0"/>
                <w:sz w:val="28"/>
                <w:szCs w:val="28"/>
              </w:rPr>
              <w:br/>
            </w:r>
            <w:r w:rsidRPr="00E30B22">
              <w:rPr>
                <w:rFonts w:ascii="楷体_GB2312" w:eastAsia="楷体_GB2312" w:hAnsi="宋体" w:cs="宋体" w:hint="eastAsia"/>
                <w:color w:val="4B4B4B"/>
                <w:kern w:val="0"/>
                <w:sz w:val="28"/>
                <w:szCs w:val="28"/>
              </w:rPr>
              <w:lastRenderedPageBreak/>
              <w:t>万人</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lastRenderedPageBreak/>
              <w:t> </w:t>
            </w:r>
            <w:r w:rsidRPr="00E30B22">
              <w:rPr>
                <w:rFonts w:ascii="楷体_GB2312" w:eastAsia="楷体_GB2312" w:hAnsi="宋体" w:cs="宋体" w:hint="eastAsia"/>
                <w:color w:val="4B4B4B"/>
                <w:kern w:val="0"/>
                <w:sz w:val="28"/>
                <w:szCs w:val="28"/>
              </w:rPr>
              <w:br/>
              <w:t>2179</w:t>
            </w:r>
            <w:r w:rsidRPr="00E30B22">
              <w:rPr>
                <w:rFonts w:ascii="楷体_GB2312" w:eastAsia="楷体_GB2312" w:hAnsi="宋体" w:cs="宋体" w:hint="eastAsia"/>
                <w:color w:val="4B4B4B"/>
                <w:kern w:val="0"/>
                <w:sz w:val="28"/>
                <w:szCs w:val="28"/>
              </w:rPr>
              <w:br/>
            </w:r>
            <w:r w:rsidRPr="00E30B22">
              <w:rPr>
                <w:rFonts w:ascii="楷体_GB2312" w:eastAsia="楷体_GB2312" w:hAnsi="宋体" w:cs="宋体" w:hint="eastAsia"/>
                <w:color w:val="4B4B4B"/>
                <w:kern w:val="0"/>
                <w:sz w:val="28"/>
                <w:szCs w:val="28"/>
              </w:rPr>
              <w:lastRenderedPageBreak/>
              <w:t>1280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lastRenderedPageBreak/>
              <w:t> </w:t>
            </w:r>
            <w:r w:rsidRPr="00E30B22">
              <w:rPr>
                <w:rFonts w:ascii="楷体_GB2312" w:eastAsia="楷体_GB2312" w:hAnsi="宋体" w:cs="宋体" w:hint="eastAsia"/>
                <w:color w:val="4B4B4B"/>
                <w:kern w:val="0"/>
                <w:sz w:val="28"/>
                <w:szCs w:val="28"/>
              </w:rPr>
              <w:br/>
              <w:t>2250</w:t>
            </w:r>
            <w:r w:rsidRPr="00E30B22">
              <w:rPr>
                <w:rFonts w:ascii="楷体_GB2312" w:eastAsia="楷体_GB2312" w:hAnsi="宋体" w:cs="宋体" w:hint="eastAsia"/>
                <w:color w:val="4B4B4B"/>
                <w:kern w:val="0"/>
                <w:sz w:val="28"/>
                <w:szCs w:val="28"/>
              </w:rPr>
              <w:br/>
            </w:r>
            <w:r w:rsidRPr="00E30B22">
              <w:rPr>
                <w:rFonts w:ascii="楷体_GB2312" w:eastAsia="楷体_GB2312" w:hAnsi="宋体" w:cs="宋体" w:hint="eastAsia"/>
                <w:color w:val="4B4B4B"/>
                <w:kern w:val="0"/>
                <w:sz w:val="28"/>
                <w:szCs w:val="28"/>
              </w:rPr>
              <w:lastRenderedPageBreak/>
              <w:t>1390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lastRenderedPageBreak/>
              <w:t> </w:t>
            </w:r>
            <w:r w:rsidRPr="00E30B22">
              <w:rPr>
                <w:rFonts w:ascii="楷体_GB2312" w:eastAsia="楷体_GB2312" w:hAnsi="宋体" w:cs="宋体" w:hint="eastAsia"/>
                <w:color w:val="4B4B4B"/>
                <w:kern w:val="0"/>
                <w:sz w:val="28"/>
                <w:szCs w:val="28"/>
              </w:rPr>
              <w:br/>
              <w:t>2350</w:t>
            </w:r>
            <w:r w:rsidRPr="00E30B22">
              <w:rPr>
                <w:rFonts w:ascii="楷体_GB2312" w:eastAsia="楷体_GB2312" w:hAnsi="宋体" w:cs="宋体" w:hint="eastAsia"/>
                <w:color w:val="4B4B4B"/>
                <w:kern w:val="0"/>
                <w:sz w:val="28"/>
                <w:szCs w:val="28"/>
              </w:rPr>
              <w:br/>
            </w:r>
            <w:r w:rsidRPr="00E30B22">
              <w:rPr>
                <w:rFonts w:ascii="楷体_GB2312" w:eastAsia="楷体_GB2312" w:hAnsi="宋体" w:cs="宋体" w:hint="eastAsia"/>
                <w:color w:val="4B4B4B"/>
                <w:kern w:val="0"/>
                <w:sz w:val="28"/>
                <w:szCs w:val="28"/>
              </w:rPr>
              <w:lastRenderedPageBreak/>
              <w:t>1480</w:t>
            </w:r>
          </w:p>
        </w:tc>
      </w:tr>
      <w:tr w:rsidR="00E30B22" w:rsidRPr="00E30B22" w:rsidTr="00E30B22">
        <w:trPr>
          <w:jc w:val="center"/>
        </w:trPr>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lastRenderedPageBreak/>
              <w:t>高等教育**</w:t>
            </w:r>
            <w:r w:rsidRPr="00E30B22">
              <w:rPr>
                <w:rFonts w:ascii="楷体_GB2312" w:eastAsia="楷体_GB2312" w:hAnsi="宋体" w:cs="宋体" w:hint="eastAsia"/>
                <w:color w:val="4B4B4B"/>
                <w:kern w:val="0"/>
                <w:sz w:val="28"/>
                <w:szCs w:val="28"/>
              </w:rPr>
              <w:br/>
              <w:t>在学总规模</w:t>
            </w:r>
            <w:r w:rsidRPr="00E30B22">
              <w:rPr>
                <w:rFonts w:ascii="楷体_GB2312" w:eastAsia="楷体_GB2312" w:hAnsi="宋体" w:cs="宋体" w:hint="eastAsia"/>
                <w:color w:val="4B4B4B"/>
                <w:kern w:val="0"/>
                <w:sz w:val="28"/>
                <w:szCs w:val="28"/>
              </w:rPr>
              <w:br/>
              <w:t>在校生</w:t>
            </w:r>
            <w:r w:rsidRPr="00E30B22">
              <w:rPr>
                <w:rFonts w:ascii="楷体_GB2312" w:eastAsia="楷体_GB2312" w:hAnsi="宋体" w:cs="宋体" w:hint="eastAsia"/>
                <w:color w:val="4B4B4B"/>
                <w:kern w:val="0"/>
                <w:sz w:val="28"/>
                <w:szCs w:val="28"/>
              </w:rPr>
              <w:br/>
              <w:t>其中：研究生</w:t>
            </w:r>
            <w:r w:rsidRPr="00E30B22">
              <w:rPr>
                <w:rFonts w:ascii="楷体_GB2312" w:eastAsia="楷体_GB2312" w:hAnsi="宋体" w:cs="宋体" w:hint="eastAsia"/>
                <w:color w:val="4B4B4B"/>
                <w:kern w:val="0"/>
                <w:sz w:val="28"/>
                <w:szCs w:val="28"/>
              </w:rPr>
              <w:br/>
              <w:t>毛入学率</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万人</w:t>
            </w:r>
            <w:r w:rsidRPr="00E30B22">
              <w:rPr>
                <w:rFonts w:ascii="楷体_GB2312" w:eastAsia="楷体_GB2312" w:hAnsi="宋体" w:cs="宋体" w:hint="eastAsia"/>
                <w:color w:val="4B4B4B"/>
                <w:kern w:val="0"/>
                <w:sz w:val="28"/>
                <w:szCs w:val="28"/>
              </w:rPr>
              <w:br/>
              <w:t>万人</w:t>
            </w:r>
            <w:r w:rsidRPr="00E30B22">
              <w:rPr>
                <w:rFonts w:ascii="楷体_GB2312" w:eastAsia="楷体_GB2312" w:hAnsi="宋体" w:cs="宋体" w:hint="eastAsia"/>
                <w:color w:val="4B4B4B"/>
                <w:kern w:val="0"/>
                <w:sz w:val="28"/>
                <w:szCs w:val="28"/>
              </w:rPr>
              <w:br/>
              <w:t>万人</w:t>
            </w:r>
            <w:r w:rsidRPr="00E30B22">
              <w:rPr>
                <w:rFonts w:ascii="楷体_GB2312" w:eastAsia="楷体_GB2312" w:hAnsi="宋体" w:cs="宋体" w:hint="eastAsia"/>
                <w:color w:val="4B4B4B"/>
                <w:kern w:val="0"/>
                <w:sz w:val="28"/>
                <w:szCs w:val="28"/>
              </w:rPr>
              <w:br/>
              <w:t>%</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2979</w:t>
            </w:r>
            <w:r w:rsidRPr="00E30B22">
              <w:rPr>
                <w:rFonts w:ascii="楷体_GB2312" w:eastAsia="楷体_GB2312" w:hAnsi="宋体" w:cs="宋体" w:hint="eastAsia"/>
                <w:color w:val="4B4B4B"/>
                <w:kern w:val="0"/>
                <w:sz w:val="28"/>
                <w:szCs w:val="28"/>
              </w:rPr>
              <w:br/>
              <w:t>2826</w:t>
            </w:r>
            <w:r w:rsidRPr="00E30B22">
              <w:rPr>
                <w:rFonts w:ascii="楷体_GB2312" w:eastAsia="楷体_GB2312" w:hAnsi="宋体" w:cs="宋体" w:hint="eastAsia"/>
                <w:color w:val="4B4B4B"/>
                <w:kern w:val="0"/>
                <w:sz w:val="28"/>
                <w:szCs w:val="28"/>
              </w:rPr>
              <w:br/>
              <w:t>140</w:t>
            </w:r>
            <w:r w:rsidRPr="00E30B22">
              <w:rPr>
                <w:rFonts w:ascii="楷体_GB2312" w:eastAsia="楷体_GB2312" w:hAnsi="宋体" w:cs="宋体" w:hint="eastAsia"/>
                <w:color w:val="4B4B4B"/>
                <w:kern w:val="0"/>
                <w:sz w:val="28"/>
                <w:szCs w:val="28"/>
              </w:rPr>
              <w:br/>
              <w:t>24.2</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3350</w:t>
            </w:r>
            <w:r w:rsidRPr="00E30B22">
              <w:rPr>
                <w:rFonts w:ascii="楷体_GB2312" w:eastAsia="楷体_GB2312" w:hAnsi="宋体" w:cs="宋体" w:hint="eastAsia"/>
                <w:color w:val="4B4B4B"/>
                <w:kern w:val="0"/>
                <w:sz w:val="28"/>
                <w:szCs w:val="28"/>
              </w:rPr>
              <w:br/>
              <w:t>3080</w:t>
            </w:r>
            <w:r w:rsidRPr="00E30B22">
              <w:rPr>
                <w:rFonts w:ascii="楷体_GB2312" w:eastAsia="楷体_GB2312" w:hAnsi="宋体" w:cs="宋体" w:hint="eastAsia"/>
                <w:color w:val="4B4B4B"/>
                <w:kern w:val="0"/>
                <w:sz w:val="28"/>
                <w:szCs w:val="28"/>
              </w:rPr>
              <w:br/>
              <w:t>170</w:t>
            </w:r>
            <w:r w:rsidRPr="00E30B22">
              <w:rPr>
                <w:rFonts w:ascii="楷体_GB2312" w:eastAsia="楷体_GB2312" w:hAnsi="宋体" w:cs="宋体" w:hint="eastAsia"/>
                <w:color w:val="4B4B4B"/>
                <w:kern w:val="0"/>
                <w:sz w:val="28"/>
                <w:szCs w:val="28"/>
              </w:rPr>
              <w:br/>
              <w:t>36.0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3550</w:t>
            </w:r>
            <w:r w:rsidRPr="00E30B22">
              <w:rPr>
                <w:rFonts w:ascii="楷体_GB2312" w:eastAsia="楷体_GB2312" w:hAnsi="宋体" w:cs="宋体" w:hint="eastAsia"/>
                <w:color w:val="4B4B4B"/>
                <w:kern w:val="0"/>
                <w:sz w:val="28"/>
                <w:szCs w:val="28"/>
              </w:rPr>
              <w:br/>
              <w:t>3300</w:t>
            </w:r>
            <w:r w:rsidRPr="00E30B22">
              <w:rPr>
                <w:rFonts w:ascii="楷体_GB2312" w:eastAsia="楷体_GB2312" w:hAnsi="宋体" w:cs="宋体" w:hint="eastAsia"/>
                <w:color w:val="4B4B4B"/>
                <w:kern w:val="0"/>
                <w:sz w:val="28"/>
                <w:szCs w:val="28"/>
              </w:rPr>
              <w:br/>
              <w:t>200</w:t>
            </w:r>
            <w:r w:rsidRPr="00E30B22">
              <w:rPr>
                <w:rFonts w:ascii="楷体_GB2312" w:eastAsia="楷体_GB2312" w:hAnsi="宋体" w:cs="宋体" w:hint="eastAsia"/>
                <w:color w:val="4B4B4B"/>
                <w:kern w:val="0"/>
                <w:sz w:val="28"/>
                <w:szCs w:val="28"/>
              </w:rPr>
              <w:br/>
              <w:t>40.0</w:t>
            </w:r>
          </w:p>
        </w:tc>
      </w:tr>
      <w:tr w:rsidR="00E30B22" w:rsidRPr="00E30B22" w:rsidTr="00E30B22">
        <w:trPr>
          <w:jc w:val="center"/>
        </w:trPr>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继续教育</w:t>
            </w:r>
            <w:r w:rsidRPr="00E30B22">
              <w:rPr>
                <w:rFonts w:ascii="楷体_GB2312" w:eastAsia="楷体_GB2312" w:hAnsi="宋体" w:cs="宋体" w:hint="eastAsia"/>
                <w:color w:val="4B4B4B"/>
                <w:kern w:val="0"/>
                <w:sz w:val="28"/>
                <w:szCs w:val="28"/>
              </w:rPr>
              <w:br/>
              <w:t>从业人员继续教育</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万人次</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16600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宋体" w:eastAsia="楷体_GB2312" w:hAnsi="宋体" w:cs="宋体" w:hint="eastAsia"/>
                <w:color w:val="4B4B4B"/>
                <w:kern w:val="0"/>
                <w:sz w:val="28"/>
                <w:szCs w:val="28"/>
              </w:rPr>
              <w:t> </w:t>
            </w:r>
            <w:r w:rsidRPr="00E30B22">
              <w:rPr>
                <w:rFonts w:ascii="楷体_GB2312" w:eastAsia="楷体_GB2312" w:hAnsi="宋体" w:cs="宋体" w:hint="eastAsia"/>
                <w:color w:val="4B4B4B"/>
                <w:kern w:val="0"/>
                <w:sz w:val="28"/>
                <w:szCs w:val="28"/>
              </w:rPr>
              <w:br/>
              <w:t>29000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br/>
              <w:t>35000</w:t>
            </w:r>
          </w:p>
        </w:tc>
      </w:tr>
    </w:tbl>
    <w:p w:rsidR="00E30B22" w:rsidRPr="00E30B22" w:rsidRDefault="00E30B22" w:rsidP="00E30B22">
      <w:pPr>
        <w:widowControl/>
        <w:shd w:val="clear" w:color="auto" w:fill="FFFFFF"/>
        <w:spacing w:line="480" w:lineRule="exact"/>
        <w:jc w:val="center"/>
        <w:rPr>
          <w:rFonts w:ascii="楷体_GB2312" w:eastAsia="楷体_GB2312" w:hAnsi="微软雅黑" w:cs="宋体" w:hint="eastAsia"/>
          <w:b/>
          <w:bCs/>
          <w:color w:val="4B4B4B"/>
          <w:kern w:val="0"/>
          <w:sz w:val="28"/>
          <w:szCs w:val="28"/>
          <w:bdr w:val="none" w:sz="0" w:space="0" w:color="auto" w:frame="1"/>
        </w:rPr>
      </w:pPr>
      <w:r w:rsidRPr="00E30B22">
        <w:rPr>
          <w:rFonts w:ascii="楷体_GB2312" w:eastAsia="楷体_GB2312" w:hAnsi="微软雅黑" w:cs="宋体" w:hint="eastAsia"/>
          <w:b/>
          <w:bCs/>
          <w:color w:val="4B4B4B"/>
          <w:kern w:val="0"/>
          <w:sz w:val="28"/>
          <w:szCs w:val="28"/>
          <w:bdr w:val="none" w:sz="0" w:space="0" w:color="auto" w:frame="1"/>
        </w:rPr>
        <w:t>注：*含中等职业教育学生数；**含高等职业教育学生数。</w:t>
      </w:r>
    </w:p>
    <w:p w:rsidR="00E30B22" w:rsidRPr="00E30B22" w:rsidRDefault="00E30B22" w:rsidP="00E30B22">
      <w:pPr>
        <w:widowControl/>
        <w:shd w:val="clear" w:color="auto" w:fill="FFFFFF"/>
        <w:spacing w:line="480" w:lineRule="exact"/>
        <w:jc w:val="center"/>
        <w:rPr>
          <w:rFonts w:ascii="楷体_GB2312" w:eastAsia="楷体_GB2312" w:hAnsi="微软雅黑" w:cs="宋体" w:hint="eastAsia"/>
          <w:b/>
          <w:bCs/>
          <w:color w:val="4B4B4B"/>
          <w:kern w:val="0"/>
          <w:sz w:val="28"/>
          <w:szCs w:val="28"/>
          <w:bdr w:val="none" w:sz="0" w:space="0" w:color="auto" w:frame="1"/>
        </w:rPr>
      </w:pPr>
      <w:r w:rsidRPr="00E30B22">
        <w:rPr>
          <w:rFonts w:ascii="楷体_GB2312" w:eastAsia="楷体_GB2312" w:hAnsi="微软雅黑" w:cs="宋体" w:hint="eastAsia"/>
          <w:b/>
          <w:bCs/>
          <w:color w:val="4B4B4B"/>
          <w:kern w:val="0"/>
          <w:sz w:val="28"/>
          <w:szCs w:val="28"/>
          <w:bdr w:val="none" w:sz="0" w:space="0" w:color="auto" w:frame="1"/>
        </w:rPr>
        <w:t>专栏2：人力资源开发主要目标</w:t>
      </w:r>
    </w:p>
    <w:tbl>
      <w:tblPr>
        <w:tblW w:w="0" w:type="auto"/>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4399"/>
        <w:gridCol w:w="772"/>
        <w:gridCol w:w="1115"/>
        <w:gridCol w:w="1135"/>
        <w:gridCol w:w="1135"/>
      </w:tblGrid>
      <w:tr w:rsidR="00E30B22" w:rsidRPr="00E30B22" w:rsidTr="00E30B22">
        <w:trPr>
          <w:jc w:val="center"/>
        </w:trPr>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指标</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单位</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2009年</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2015年</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b/>
                <w:bCs/>
                <w:color w:val="4B4B4B"/>
                <w:kern w:val="0"/>
                <w:sz w:val="28"/>
                <w:szCs w:val="28"/>
                <w:bdr w:val="none" w:sz="0" w:space="0" w:color="auto" w:frame="1"/>
              </w:rPr>
              <w:t>2020年</w:t>
            </w:r>
          </w:p>
        </w:tc>
      </w:tr>
      <w:tr w:rsidR="00E30B22" w:rsidRPr="00E30B22" w:rsidTr="00E30B22">
        <w:trPr>
          <w:jc w:val="center"/>
        </w:trPr>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具有高等教育文化程度的人数</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万人</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9830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14500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19500</w:t>
            </w:r>
          </w:p>
        </w:tc>
      </w:tr>
      <w:tr w:rsidR="00E30B22" w:rsidRPr="00E30B22" w:rsidTr="00E30B22">
        <w:trPr>
          <w:jc w:val="center"/>
        </w:trPr>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主要劳动年龄人口平均受教育年限</w:t>
            </w:r>
            <w:r w:rsidRPr="00E30B22">
              <w:rPr>
                <w:rFonts w:ascii="楷体_GB2312" w:eastAsia="楷体_GB2312" w:hAnsi="宋体" w:cs="宋体" w:hint="eastAsia"/>
                <w:color w:val="4B4B4B"/>
                <w:kern w:val="0"/>
                <w:sz w:val="28"/>
                <w:szCs w:val="28"/>
              </w:rPr>
              <w:br/>
              <w:t>其中：受过高等教育的比例</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年</w:t>
            </w:r>
            <w:r w:rsidRPr="00E30B22">
              <w:rPr>
                <w:rFonts w:ascii="楷体_GB2312" w:eastAsia="楷体_GB2312" w:hAnsi="宋体" w:cs="宋体" w:hint="eastAsia"/>
                <w:color w:val="4B4B4B"/>
                <w:kern w:val="0"/>
                <w:sz w:val="28"/>
                <w:szCs w:val="28"/>
              </w:rPr>
              <w:br/>
              <w:t>%</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9.5</w:t>
            </w:r>
            <w:r w:rsidRPr="00E30B22">
              <w:rPr>
                <w:rFonts w:ascii="楷体_GB2312" w:eastAsia="楷体_GB2312" w:hAnsi="宋体" w:cs="宋体" w:hint="eastAsia"/>
                <w:color w:val="4B4B4B"/>
                <w:kern w:val="0"/>
                <w:sz w:val="28"/>
                <w:szCs w:val="28"/>
              </w:rPr>
              <w:br/>
              <w:t>9.9</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10.5</w:t>
            </w:r>
            <w:r w:rsidRPr="00E30B22">
              <w:rPr>
                <w:rFonts w:ascii="楷体_GB2312" w:eastAsia="楷体_GB2312" w:hAnsi="宋体" w:cs="宋体" w:hint="eastAsia"/>
                <w:color w:val="4B4B4B"/>
                <w:kern w:val="0"/>
                <w:sz w:val="28"/>
                <w:szCs w:val="28"/>
              </w:rPr>
              <w:br/>
              <w:t>15.0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11.2</w:t>
            </w:r>
            <w:r w:rsidRPr="00E30B22">
              <w:rPr>
                <w:rFonts w:ascii="楷体_GB2312" w:eastAsia="楷体_GB2312" w:hAnsi="宋体" w:cs="宋体" w:hint="eastAsia"/>
                <w:color w:val="4B4B4B"/>
                <w:kern w:val="0"/>
                <w:sz w:val="28"/>
                <w:szCs w:val="28"/>
              </w:rPr>
              <w:br/>
              <w:t>20.0</w:t>
            </w:r>
          </w:p>
        </w:tc>
      </w:tr>
      <w:tr w:rsidR="00E30B22" w:rsidRPr="00E30B22" w:rsidTr="00E30B22">
        <w:trPr>
          <w:jc w:val="center"/>
        </w:trPr>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新增劳动力平均受教育年限</w:t>
            </w:r>
            <w:r w:rsidRPr="00E30B22">
              <w:rPr>
                <w:rFonts w:ascii="楷体_GB2312" w:eastAsia="楷体_GB2312" w:hAnsi="宋体" w:cs="宋体" w:hint="eastAsia"/>
                <w:color w:val="4B4B4B"/>
                <w:kern w:val="0"/>
                <w:sz w:val="28"/>
                <w:szCs w:val="28"/>
              </w:rPr>
              <w:br/>
              <w:t>其中：受过高中阶段及以上教育的比例</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年</w:t>
            </w:r>
            <w:r w:rsidRPr="00E30B22">
              <w:rPr>
                <w:rFonts w:ascii="楷体_GB2312" w:eastAsia="楷体_GB2312" w:hAnsi="宋体" w:cs="宋体" w:hint="eastAsia"/>
                <w:color w:val="4B4B4B"/>
                <w:kern w:val="0"/>
                <w:sz w:val="28"/>
                <w:szCs w:val="28"/>
              </w:rPr>
              <w:br/>
              <w:t>%</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12.4</w:t>
            </w:r>
            <w:r w:rsidRPr="00E30B22">
              <w:rPr>
                <w:rFonts w:ascii="楷体_GB2312" w:eastAsia="楷体_GB2312" w:hAnsi="宋体" w:cs="宋体" w:hint="eastAsia"/>
                <w:color w:val="4B4B4B"/>
                <w:kern w:val="0"/>
                <w:sz w:val="28"/>
                <w:szCs w:val="28"/>
              </w:rPr>
              <w:br/>
              <w:t>67.0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13.3</w:t>
            </w:r>
            <w:r w:rsidRPr="00E30B22">
              <w:rPr>
                <w:rFonts w:ascii="楷体_GB2312" w:eastAsia="楷体_GB2312" w:hAnsi="宋体" w:cs="宋体" w:hint="eastAsia"/>
                <w:color w:val="4B4B4B"/>
                <w:kern w:val="0"/>
                <w:sz w:val="28"/>
                <w:szCs w:val="28"/>
              </w:rPr>
              <w:br/>
              <w:t>87.0</w:t>
            </w:r>
          </w:p>
        </w:tc>
        <w:tc>
          <w:tcPr>
            <w:tcW w:w="0" w:type="auto"/>
            <w:tcBorders>
              <w:top w:val="single" w:sz="4" w:space="0" w:color="000000"/>
              <w:left w:val="single" w:sz="4" w:space="0" w:color="000000"/>
              <w:bottom w:val="single" w:sz="4" w:space="0" w:color="000000"/>
              <w:right w:val="single" w:sz="4" w:space="0" w:color="000000"/>
            </w:tcBorders>
            <w:tcMar>
              <w:top w:w="200" w:type="dxa"/>
              <w:left w:w="125" w:type="dxa"/>
              <w:bottom w:w="200" w:type="dxa"/>
              <w:right w:w="125" w:type="dxa"/>
            </w:tcMar>
            <w:vAlign w:val="center"/>
            <w:hideMark/>
          </w:tcPr>
          <w:p w:rsidR="00E30B22" w:rsidRPr="00E30B22" w:rsidRDefault="00E30B22" w:rsidP="00E30B22">
            <w:pPr>
              <w:widowControl/>
              <w:spacing w:line="480" w:lineRule="exact"/>
              <w:jc w:val="center"/>
              <w:rPr>
                <w:rFonts w:ascii="楷体_GB2312" w:eastAsia="楷体_GB2312" w:hAnsi="宋体" w:cs="宋体" w:hint="eastAsia"/>
                <w:color w:val="4B4B4B"/>
                <w:kern w:val="0"/>
                <w:sz w:val="28"/>
                <w:szCs w:val="28"/>
              </w:rPr>
            </w:pPr>
            <w:r w:rsidRPr="00E30B22">
              <w:rPr>
                <w:rFonts w:ascii="楷体_GB2312" w:eastAsia="楷体_GB2312" w:hAnsi="宋体" w:cs="宋体" w:hint="eastAsia"/>
                <w:color w:val="4B4B4B"/>
                <w:kern w:val="0"/>
                <w:sz w:val="28"/>
                <w:szCs w:val="28"/>
              </w:rPr>
              <w:t>13.5</w:t>
            </w:r>
            <w:r w:rsidRPr="00E30B22">
              <w:rPr>
                <w:rFonts w:ascii="楷体_GB2312" w:eastAsia="楷体_GB2312" w:hAnsi="宋体" w:cs="宋体" w:hint="eastAsia"/>
                <w:color w:val="4B4B4B"/>
                <w:kern w:val="0"/>
                <w:sz w:val="28"/>
                <w:szCs w:val="28"/>
              </w:rPr>
              <w:br/>
              <w:t>90.0</w:t>
            </w:r>
          </w:p>
        </w:tc>
      </w:tr>
    </w:tbl>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第二部分 发展任务</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第三章 学前教育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第四章 义务教育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巩固义务教育普及成果。适应城乡发展需要，合理规划学校布局，办好必要的教学点，方便学生就近入学。坚持以输入地政府管理为主、以全日制公办中小学为主，确保进城务工人员随迁子女平等接受义务</w:t>
      </w:r>
      <w:r w:rsidRPr="00E30B22">
        <w:rPr>
          <w:rFonts w:ascii="楷体_GB2312" w:eastAsia="楷体_GB2312" w:hAnsi="微软雅黑" w:cs="宋体" w:hint="eastAsia"/>
          <w:color w:val="4B4B4B"/>
          <w:kern w:val="0"/>
          <w:sz w:val="28"/>
          <w:szCs w:val="28"/>
        </w:rPr>
        <w:lastRenderedPageBreak/>
        <w:t>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（九）推进义务教育均衡发展。均衡发展是义务教育的战略性任务。建立健全义务教育均衡发展保障机制。推进义务教育学校标准化建设，均衡配置教师、设备、图书、校舍等资源。</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加快缩小城乡差距。建立城乡一体化义务教育发展机制，在财政拨款、学校建设、教师配置等方面向农村倾斜。率先在县（区）域内实现城乡均衡发展，逐步在更大范围内推进。</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努力缩小区域差距。加大对革命老区、民族地区、边疆地区、贫困地区义务教育的转移支付力度。鼓励发达地区支援欠发达地区。</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（十）减轻中小学生课业负担。过重的课业负担严重损害儿童少年身心健康。减轻学生课业负担是全社会的共同责任，政府、学校、家庭、社会必须共同努力，标本兼治，综合治理。把减负落实到中小</w:t>
      </w:r>
      <w:r w:rsidRPr="00E30B22">
        <w:rPr>
          <w:rFonts w:ascii="楷体_GB2312" w:eastAsia="楷体_GB2312" w:hAnsi="微软雅黑" w:cs="宋体" w:hint="eastAsia"/>
          <w:color w:val="4B4B4B"/>
          <w:kern w:val="0"/>
          <w:sz w:val="28"/>
          <w:szCs w:val="28"/>
        </w:rPr>
        <w:lastRenderedPageBreak/>
        <w:t>学教育全过程，促进学生生动活泼学习、健康快乐成长。率先实现小学生减负。</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充分发挥家庭教育在儿童少年成长过程中的重要作用。家长要树立正确的教育观念，掌握科学的教育方法，尊重子女的健康情趣，培养子女的良好习惯，加强与学校的沟通配合，共同减轻学生课业负担。</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第五章 高中阶段教育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根据经济社会发展需要，合理确定普通高中和中等职业学校招生比例，今后一个时期总体保持普通高中和中等职业学校招生规模大体相当。加大对中西部贫困地区高中阶段教育的扶持力度。</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w:t>
      </w:r>
      <w:r w:rsidRPr="00E30B22">
        <w:rPr>
          <w:rFonts w:ascii="楷体_GB2312" w:eastAsia="楷体_GB2312" w:hAnsi="微软雅黑" w:cs="宋体" w:hint="eastAsia"/>
          <w:color w:val="4B4B4B"/>
          <w:kern w:val="0"/>
          <w:sz w:val="28"/>
          <w:szCs w:val="28"/>
        </w:rPr>
        <w:lastRenderedPageBreak/>
        <w:t>习、社区服务和社会实践。建立科学的教育质量评价体系，全面实施高中学业水平考试和综合素质评价。建立学生发展指导制度，加强对学生的理想、心理、学业等多方面指导。</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第六章 职业教育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第七章 高等教育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w:t>
      </w:r>
      <w:r w:rsidRPr="00E30B22">
        <w:rPr>
          <w:rFonts w:ascii="楷体_GB2312" w:eastAsia="楷体_GB2312" w:hAnsi="微软雅黑" w:cs="宋体" w:hint="eastAsia"/>
          <w:color w:val="4B4B4B"/>
          <w:kern w:val="0"/>
          <w:sz w:val="28"/>
          <w:szCs w:val="28"/>
        </w:rPr>
        <w:lastRenderedPageBreak/>
        <w:t>高水平的高等学校，若干所大学达到或接近世界一流大学水平，高等教育国际竞争力显著增强。</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二十）提升科学研究水平。充分发挥高校在国家创新体系中的重要作用，鼓励高校在知识创新、技术创新、国防科技创新和区域创新中作出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促进高校办出特色。建立高校分类体系，实行分类管理。发挥政策指导和资源配置的作用，引导高校合理定位，克服同质化倾向，形成各自的办学理念和风格，在不同层次、不同领域办出特色，争创一流。</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第八章 继续教育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搭建终身学习“立交桥”。促进各级各类教育纵向衔接、横向沟通，提供多次选择机会，满足个人多样化的学习和发展需要。健全宽进严出的学习制度，办好开放大学，改革和完善高等教育自学考试制度。建立继续教育学分积累与转换制度，实现不同类型学习成果的互认和衔接。</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第九章 民族教育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（二十六）重视和支持民族教育事业。加快民族教育事业发展，对于推动少数民族和民族地区经济社会发展，促进各民族共同团结奋斗、共同繁荣发展，具有重大而深远的意义。要加强对民族教育工作</w:t>
      </w:r>
      <w:r w:rsidRPr="00E30B22">
        <w:rPr>
          <w:rFonts w:ascii="楷体_GB2312" w:eastAsia="楷体_GB2312" w:hAnsi="微软雅黑" w:cs="宋体" w:hint="eastAsia"/>
          <w:color w:val="4B4B4B"/>
          <w:kern w:val="0"/>
          <w:sz w:val="28"/>
          <w:szCs w:val="28"/>
        </w:rPr>
        <w:lastRenderedPageBreak/>
        <w:t>的领导，全面贯彻党的民族政策，切实解决少数民族和民族地区教育事业发展面临的特殊困难和突出问题。</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（二十七）全面提高少数民族和民族地区教育发展水平。公共教育资源要向民族地区倾斜。中央和地方政府要进一步加大对民族教育支持力度。</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第十章 特殊教育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提高残疾学生的综合素质。注重潜能开发和缺陷补偿，培养残疾学生积极面对人生、全面融入社会的意识和自尊、自信、自立、自强的精神。加强残疾学生职业技能和就业能力培养。</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第三部分 体制改革</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第十一章 人才培养体制改革</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w:t>
      </w:r>
      <w:r w:rsidRPr="00E30B22">
        <w:rPr>
          <w:rFonts w:ascii="楷体_GB2312" w:eastAsia="楷体_GB2312" w:hAnsi="微软雅黑" w:cs="宋体" w:hint="eastAsia"/>
          <w:color w:val="4B4B4B"/>
          <w:kern w:val="0"/>
          <w:sz w:val="28"/>
          <w:szCs w:val="28"/>
        </w:rPr>
        <w:lastRenderedPageBreak/>
        <w:t>合作等多种联合培养方式，形成体系开放、机制灵活、渠道互通、选择多样的人才培养体制。</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（三十二）创新人才培养模式。适应国家和社会发展需要，遵循教育规律和人才成长规律，深化教育教学改革，创新教育教学方法，探索多种培养方式，形成各类人才辈出、拔尖创新人才不断涌现的局面。</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注重因材施教。关注学生不同特点和个性差异，发展每一个学生的优势潜能。推进分层教学、走班制、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第十二章 考试招生制度改革</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作出突出贡献或具有特殊才能的人才，建立专门程序，破格录取。</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第十三章 建设现代学校制度</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w:t>
      </w:r>
      <w:r w:rsidRPr="00E30B22">
        <w:rPr>
          <w:rFonts w:ascii="楷体_GB2312" w:eastAsia="楷体_GB2312" w:hAnsi="微软雅黑" w:cs="宋体" w:hint="eastAsia"/>
          <w:color w:val="4B4B4B"/>
          <w:kern w:val="0"/>
          <w:sz w:val="28"/>
          <w:szCs w:val="28"/>
        </w:rPr>
        <w:lastRenderedPageBreak/>
        <w:t>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加强章程建设。各类高校应依法制定章程，依照章程规定管理学校。尊重学术自由，营造宽松的学术环境。全面实行聘任制度和岗位管理制度。确立科学的考核评价和激励机制。</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lastRenderedPageBreak/>
        <w:t xml:space="preserve">　　第十四章　办学体制改革</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改进非义务教育公共服务提供方式，完善优惠政策，鼓励公平竞争，引导社会资金以多种方式进入教育领域。</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健全公共财政对民办教育的扶持政策。政府委托民办学校承担有关教育和培训任务，拨付相应教育经费。县级以上人民政府可以根据本行政区域的具体情况设立专项资金，用于资助民办学校。国家对发展民办教育作出突出贡献的组织、学校和个人给予奖励和表彰。</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（四十四）依法管理民办教育。教育行政部门要切实加强民办教育的统筹、规划和管理工作。积极探索营利性和非营利性民办学校分</w:t>
      </w:r>
      <w:r w:rsidRPr="00E30B22">
        <w:rPr>
          <w:rFonts w:ascii="楷体_GB2312" w:eastAsia="楷体_GB2312" w:hAnsi="微软雅黑" w:cs="宋体" w:hint="eastAsia"/>
          <w:color w:val="4B4B4B"/>
          <w:kern w:val="0"/>
          <w:sz w:val="28"/>
          <w:szCs w:val="28"/>
        </w:rPr>
        <w:lastRenderedPageBreak/>
        <w:t>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第十五章　管理体制改革</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促进省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w:t>
      </w:r>
      <w:r w:rsidRPr="00E30B22">
        <w:rPr>
          <w:rFonts w:ascii="楷体_GB2312" w:eastAsia="楷体_GB2312" w:hAnsi="微软雅黑" w:cs="宋体" w:hint="eastAsia"/>
          <w:color w:val="4B4B4B"/>
          <w:kern w:val="0"/>
          <w:sz w:val="28"/>
          <w:szCs w:val="28"/>
        </w:rPr>
        <w:lastRenderedPageBreak/>
        <w:t>师编制等实施标准。统筹推进教育综合改革，促进教育区域协作，提高教育服务经济社会发展的水平。支持和督促市（地）、县级政府履行职责，发展管理好当地各类教育。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培育专业教育服务机构。完善教育中介组织的准入、资助、监管和行业自律制度。积极发挥行业协会、专业学会、基金会等各类社会组织在教育公共治理中的作用。</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第十六章　扩大教育开放</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吸引更多世界一流的专家学者来华从事教学、科研和管理工作，有计划地引进海外高端人才和学术团队。引进境外优秀教材，提高高等学校聘任外籍教师的比例。吸引海外优秀留学人员回国服务。</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五十）提高交流合作水平。扩大政府间学历学位互认。支持中外大学间的教师互派、学生互换、学分互认和学位互授联授。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进一步扩大外国留学生规模。增加中国政府奖学金数量，重点资助发展中国家学生，优化来华留学人员结构。实施来华留学预备教育，增加高等学校外语授课的学科专业，不断提高来华留学教育质量。</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加强内地与港澳台地区的教育交流与合作。扩展交流内容，创新合作模式，促进教育事业共同发展。</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第四部分　保障措施</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第十七章　加强教师队伍建设</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w:t>
      </w:r>
      <w:r w:rsidRPr="00E30B22">
        <w:rPr>
          <w:rFonts w:ascii="楷体_GB2312" w:eastAsia="楷体_GB2312" w:hAnsi="微软雅黑" w:cs="宋体" w:hint="eastAsia"/>
          <w:color w:val="4B4B4B"/>
          <w:kern w:val="0"/>
          <w:sz w:val="28"/>
          <w:szCs w:val="28"/>
        </w:rPr>
        <w:lastRenderedPageBreak/>
        <w:t>担任专兼职教师，提高持有专业技术资格证书和职业资格证书教师比例。</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w:t>
      </w:r>
      <w:r w:rsidRPr="00E30B22">
        <w:rPr>
          <w:rFonts w:ascii="楷体_GB2312" w:eastAsia="楷体_GB2312" w:hAnsi="微软雅黑" w:cs="宋体" w:hint="eastAsia"/>
          <w:color w:val="4B4B4B"/>
          <w:kern w:val="0"/>
          <w:sz w:val="28"/>
          <w:szCs w:val="28"/>
        </w:rPr>
        <w:lastRenderedPageBreak/>
        <w:t>教师在评聘高级职务（职称）时，原则上要有一年以上在农村学校或薄弱学校任教经历。加强教师管理，完善教师退出机制。制定校长任职资格标准，促进校长专业化，提高校长管理水平。推行校长职级制。</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创造有利条件，鼓励教师和校长在实践中大胆探索，创新教育思想、教育模式和教育方法，形成教学特色和办学风格，造就一批教育家，倡导教育家办学。大力表彰和宣传模范教师的先进事迹。国家对作出突出贡献的教师和教育工作者设立荣誉称号。</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第十八章　保障经费投入</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（五十六）加大教育投入。教育投入是支撑国家长远发展的基础性、战略性投资，是教育事业的物质基础，是公共财政的重要职能。要健全以政府投入为主、多渠道筹集教育经费的体制，大幅度增加教育投入。</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（五十七）完善投入机制。进一步明确各级政府提供公共教育服务职责，完善各级教育经费投入机制，保障学校办学经费的稳定来源和增长。各地根据国家办学条件基本标准和教育教学基本需要，制定</w:t>
      </w:r>
      <w:r w:rsidRPr="00E30B22">
        <w:rPr>
          <w:rFonts w:ascii="楷体_GB2312" w:eastAsia="楷体_GB2312" w:hAnsi="微软雅黑" w:cs="宋体" w:hint="eastAsia"/>
          <w:color w:val="4B4B4B"/>
          <w:kern w:val="0"/>
          <w:sz w:val="28"/>
          <w:szCs w:val="28"/>
        </w:rPr>
        <w:lastRenderedPageBreak/>
        <w:t>并逐步提高区域内各级学校学生人均经费基本标准和学生人均财政拨款基本标准。</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进一步加大农村、边远贫困地区、民族地区教育投入。中央财政通过加大转移支付，支持农村欠发达地区和民族地区教育事业发展，加强关键领域和薄弱环节，解决突出问题。</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健全国家资助政策体系。各地根据学前教育普及程度和发展情况，逐步对农村家庭经济困难和城镇低保家庭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五十八）加强经费管理。坚持依法理财，严格执行国家财政资金管理法律制度和财经纪律。建立科学化、精细化预算管理机制，科学编制预算，提高预算执行效率。设立高等教育拨款咨询委员会，增强经费分配的科学性。加强学校财务会计制度建设，完善经费使用内</w:t>
      </w:r>
      <w:r w:rsidRPr="00E30B22">
        <w:rPr>
          <w:rFonts w:ascii="楷体_GB2312" w:eastAsia="楷体_GB2312" w:hAnsi="微软雅黑" w:cs="宋体" w:hint="eastAsia"/>
          <w:color w:val="4B4B4B"/>
          <w:kern w:val="0"/>
          <w:sz w:val="28"/>
          <w:szCs w:val="28"/>
        </w:rPr>
        <w:lastRenderedPageBreak/>
        <w:t>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完善学校收费管理办法，规范学校收费行为和收费资金使用管理。坚持勤俭办学，严禁铺张浪费，建设节约型学校。</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第十九章 加快教育信息化进程</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强化信息技术应用。提高教师应用信息技术水平，更新教学观念，改进教学方法，提高教学效果。鼓励学生利用信息手段主动学习、自</w:t>
      </w:r>
      <w:r w:rsidRPr="00E30B22">
        <w:rPr>
          <w:rFonts w:ascii="楷体_GB2312" w:eastAsia="楷体_GB2312" w:hAnsi="微软雅黑" w:cs="宋体" w:hint="eastAsia"/>
          <w:color w:val="4B4B4B"/>
          <w:kern w:val="0"/>
          <w:sz w:val="28"/>
          <w:szCs w:val="28"/>
        </w:rPr>
        <w:lastRenderedPageBreak/>
        <w:t>主学习，增强运用信息技术分析解决问题能力。加快全民信息技术普及和应用。</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六十一）构建国家教育管理信息系统。制定学校基础信息管理要求，加快学校管理信息化进程，促进学校管理标准化、规范化。推进政府教育管理信息化，积累基础资料，掌握总体状况，加强动态监测，提高管理效率。整合各级各类教育管理资源，搭建国家教育管理公共服务平台，为宏观决策提供科学依据，为公众提供公共教育信息，不断提高教育管理现代化水平。</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第二十章 推进依法治教</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六十三）全面推进依法行政。各级政府要按照建设法治政府的要求，依法履行教育职责。探索教育行政执法体制机制改革，落实教育行政执法责任制，及时查处违反教育法律法规、侵害受教育者权益、扰乱教育秩序等行为，依法维护学校、学生、教师、校长和举办者的权益。完善教育信息公开制度，保障公众对教育的知情权、参与权和监督权。</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开展普法教育。促进师生员工提高法律素质和公民意识，自觉知法守法，遵守公共生活秩序，做遵纪守法的楷模。</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严格落实问责制。主动接受和积极配合各级人大及其常委会对教育法律法规执行情况的监督检查以及司法机关的司法监督。建立健全层级监督机制。加强监察、审计等专门监督。强化社会监督。</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第二十一章 重大项目和改革试点</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（六十六）组织实施重大项目。2010－2012年，围绕教育改革发展战略目标，着眼于促进教育公平，提高教育质量，增强可持续发展能力，以加强关键领域和薄弱环节为重点，完善机制，组织实施一批重大项目。</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义务教育学校标准化建设。完善城乡义务教育经费保障机制，科学规划、统筹安排、均衡配置、合理布局。实施中小学校舍安全工程，集中开展危房改造、抗震加固，实现城乡中小学校舍安全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推进农村学前教育。支持办好现有的乡镇和村幼儿园；重点支持中西部贫困地区充分利用中小学富余校舍和社会资源，改扩建或新建乡镇和村幼儿园；对农村幼儿园园长和骨干教师进行培训。</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一批示范性职业教育集团学校建设，促进优质资源开放共享。</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家庭经济困难学生资助。启动民族地区、贫困地区农村小学生营养改善计划；免除中等职业教育家庭经济困难学生和涉农专业学生学费；把普通高中学生和研究生纳入国家助学体系。</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教育信息化建设。提高中小学每百名学生拥有计算机台数，为农村中小学班级配备多媒体远程教学设备；建设有效共享、覆盖各级各类教育的国家数字化教学资源库和公共服务平台；基本建成较完备的</w:t>
      </w:r>
      <w:r w:rsidRPr="00E30B22">
        <w:rPr>
          <w:rFonts w:ascii="楷体_GB2312" w:eastAsia="楷体_GB2312" w:hAnsi="微软雅黑" w:cs="宋体" w:hint="eastAsia"/>
          <w:color w:val="4B4B4B"/>
          <w:kern w:val="0"/>
          <w:sz w:val="28"/>
          <w:szCs w:val="28"/>
        </w:rPr>
        <w:lastRenderedPageBreak/>
        <w:t>国家级和省级教育基础信息库以及教育质量、学生流动、资源配置和毕业生就业状况等监测分析系统。</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教育国际交流合作。支持一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（六十七）组织开展改革试点。成立国家教育体制改革领导小组，研究部署、指导实施教育体制改革工作。根据统筹规划、分步实施、试点先行、动态调整的原则，选择部分地区和学校开展重大改革试点。</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终身教育体制机制建设试点。建立区域内普通教育、职业教育、继续教育之间的沟通机制；建立终身学习网络和服务平台；统筹开发社会教育资源，积极发展社区教育；建立学习成果认证体系，建立“学分银行”制度等。</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拔尖创新人才培养改革试点。探索贯穿各级各类教育的创新人才培养途径；鼓励高等学校联合培养拔尖创新人才；支持有条件的高中</w:t>
      </w:r>
      <w:r w:rsidRPr="00E30B22">
        <w:rPr>
          <w:rFonts w:ascii="楷体_GB2312" w:eastAsia="楷体_GB2312" w:hAnsi="微软雅黑" w:cs="宋体" w:hint="eastAsia"/>
          <w:color w:val="4B4B4B"/>
          <w:kern w:val="0"/>
          <w:sz w:val="28"/>
          <w:szCs w:val="28"/>
        </w:rPr>
        <w:lastRenderedPageBreak/>
        <w:t>与大学、科研院所合作开展创新人才培养研究和试验，建立创新人才培养基地。</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第二十二章 加强组织领导</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（六十八）加强和改善对教育工作的领导。各级党委和政府要以邓小平理论和“三个代表”重要思想为指导，深入贯彻落实科学发展观，把推动教育事业优先发展、科学发展作为重要职责，健全领导体</w:t>
      </w:r>
      <w:r w:rsidRPr="00E30B22">
        <w:rPr>
          <w:rFonts w:ascii="楷体_GB2312" w:eastAsia="楷体_GB2312" w:hAnsi="微软雅黑" w:cs="宋体" w:hint="eastAsia"/>
          <w:color w:val="4B4B4B"/>
          <w:kern w:val="0"/>
          <w:sz w:val="28"/>
          <w:szCs w:val="28"/>
        </w:rPr>
        <w:lastRenderedPageBreak/>
        <w:t>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加强学校领导班子和领导干部队伍建设，不断提高思想政治素质和办学治校能力。坚持德才兼备、以德为先用人标准，选拔任用学校领导干部。加大学校领导干部培养培训和交流任职力度。</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着力扩大党组织的覆盖面，推进工作创新，增强生机活力。充分发挥学校基层党组织战斗堡垒作用和党员先锋模范作用。加强在优秀青年教师、优秀学生中发展党员工作。重视学校共青团、少先队工作。</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加强教育系统党风廉政建设和行风建设。大兴密切联系群众之风、求真务实之风、艰苦奋斗之风、批评和自我批评之风。坚持标本兼治、综合治理、惩防并举、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技防措施。加强师生安全教育和学校安全管理，提高预防灾害、应急避险和防范违法犯罪活动的能力。加强校园和周边环境治安综合治理，为师生创造安定有序、和谐融洽、充满活力的工作、学习、生活环境。</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b/>
          <w:bCs/>
          <w:color w:val="4B4B4B"/>
          <w:kern w:val="0"/>
          <w:sz w:val="28"/>
          <w:szCs w:val="28"/>
          <w:bdr w:val="none" w:sz="0" w:space="0" w:color="auto" w:frame="1"/>
        </w:rPr>
        <w:t xml:space="preserve">　　实 施</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《教育规划纲要》是21世纪我国第一个中长期教育规划纲要，涉及面广、时间跨度大、任务重、要求高，必须周密部署、精心组织、认真实施，确保各项任务落到实处。</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lastRenderedPageBreak/>
        <w:t xml:space="preserve">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E30B22" w:rsidRPr="00E30B22" w:rsidRDefault="00E30B22" w:rsidP="00E30B22">
      <w:pPr>
        <w:widowControl/>
        <w:shd w:val="clear" w:color="auto" w:fill="FFFFFF"/>
        <w:spacing w:line="480" w:lineRule="exact"/>
        <w:jc w:val="left"/>
        <w:rPr>
          <w:rFonts w:ascii="楷体_GB2312" w:eastAsia="楷体_GB2312" w:hAnsi="微软雅黑" w:cs="宋体" w:hint="eastAsia"/>
          <w:color w:val="4B4B4B"/>
          <w:kern w:val="0"/>
          <w:sz w:val="28"/>
          <w:szCs w:val="28"/>
        </w:rPr>
      </w:pPr>
      <w:r w:rsidRPr="00E30B22">
        <w:rPr>
          <w:rFonts w:ascii="楷体_GB2312" w:eastAsia="楷体_GB2312" w:hAnsi="微软雅黑" w:cs="宋体" w:hint="eastAsia"/>
          <w:color w:val="4B4B4B"/>
          <w:kern w:val="0"/>
          <w:sz w:val="28"/>
          <w:szCs w:val="28"/>
        </w:rPr>
        <w:t xml:space="preserve">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rsidR="00FC2194" w:rsidRPr="00E30B22" w:rsidRDefault="00E30B22" w:rsidP="00E30B22">
      <w:pPr>
        <w:spacing w:line="480" w:lineRule="exact"/>
        <w:rPr>
          <w:rFonts w:ascii="楷体_GB2312" w:eastAsia="楷体_GB2312" w:hint="eastAsia"/>
          <w:sz w:val="28"/>
          <w:szCs w:val="28"/>
        </w:rPr>
      </w:pPr>
    </w:p>
    <w:sectPr w:rsidR="00FC2194" w:rsidRPr="00E30B22" w:rsidSect="00651B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0B22"/>
    <w:rsid w:val="000F2226"/>
    <w:rsid w:val="0021554F"/>
    <w:rsid w:val="003D0AC3"/>
    <w:rsid w:val="004133F4"/>
    <w:rsid w:val="00611EE7"/>
    <w:rsid w:val="00651B8E"/>
    <w:rsid w:val="0074692D"/>
    <w:rsid w:val="009937ED"/>
    <w:rsid w:val="00A92756"/>
    <w:rsid w:val="00E30B22"/>
    <w:rsid w:val="00EA0C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B8E"/>
    <w:pPr>
      <w:widowControl w:val="0"/>
      <w:jc w:val="both"/>
    </w:pPr>
  </w:style>
  <w:style w:type="paragraph" w:styleId="1">
    <w:name w:val="heading 1"/>
    <w:basedOn w:val="a"/>
    <w:link w:val="1Char"/>
    <w:uiPriority w:val="9"/>
    <w:qFormat/>
    <w:rsid w:val="00E30B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0B22"/>
    <w:rPr>
      <w:rFonts w:ascii="宋体" w:eastAsia="宋体" w:hAnsi="宋体" w:cs="宋体"/>
      <w:b/>
      <w:bCs/>
      <w:kern w:val="36"/>
      <w:sz w:val="48"/>
      <w:szCs w:val="48"/>
    </w:rPr>
  </w:style>
  <w:style w:type="paragraph" w:styleId="a3">
    <w:name w:val="Normal (Web)"/>
    <w:basedOn w:val="a"/>
    <w:uiPriority w:val="99"/>
    <w:semiHidden/>
    <w:unhideWhenUsed/>
    <w:rsid w:val="00E30B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29915592">
      <w:bodyDiv w:val="1"/>
      <w:marLeft w:val="0"/>
      <w:marRight w:val="0"/>
      <w:marTop w:val="0"/>
      <w:marBottom w:val="0"/>
      <w:divBdr>
        <w:top w:val="none" w:sz="0" w:space="0" w:color="auto"/>
        <w:left w:val="none" w:sz="0" w:space="0" w:color="auto"/>
        <w:bottom w:val="none" w:sz="0" w:space="0" w:color="auto"/>
        <w:right w:val="none" w:sz="0" w:space="0" w:color="auto"/>
      </w:divBdr>
      <w:divsChild>
        <w:div w:id="1632247463">
          <w:marLeft w:val="0"/>
          <w:marRight w:val="0"/>
          <w:marTop w:val="376"/>
          <w:marBottom w:val="0"/>
          <w:divBdr>
            <w:top w:val="none" w:sz="0" w:space="0" w:color="auto"/>
            <w:left w:val="none" w:sz="0" w:space="0" w:color="auto"/>
            <w:bottom w:val="none" w:sz="0" w:space="0" w:color="auto"/>
            <w:right w:val="none" w:sz="0" w:space="0" w:color="auto"/>
          </w:divBdr>
        </w:div>
        <w:div w:id="197979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4563</Words>
  <Characters>26013</Characters>
  <Application>Microsoft Office Word</Application>
  <DocSecurity>0</DocSecurity>
  <Lines>216</Lines>
  <Paragraphs>61</Paragraphs>
  <ScaleCrop>false</ScaleCrop>
  <Company/>
  <LinksUpToDate>false</LinksUpToDate>
  <CharactersWithSpaces>30515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焦永刚</dc:creator>
  <cp:lastModifiedBy>焦永刚</cp:lastModifiedBy>
  <cp:revision>1</cp:revision>
  <dcterms:created xsi:type="dcterms:W3CDTF">2016-06-24T02:00:00Z</dcterms:created>
  <dcterms:modified xsi:type="dcterms:W3CDTF">2016-06-24T02:02:00Z</dcterms:modified>
</cp:coreProperties>
</file>